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1E3B" w14:textId="2AB28BF7" w:rsidR="0066126A" w:rsidRPr="00F264FB" w:rsidRDefault="00F264FB" w:rsidP="0066126A">
      <w:pPr>
        <w:rPr>
          <w:sz w:val="32"/>
          <w:szCs w:val="32"/>
        </w:rPr>
      </w:pPr>
      <w:r w:rsidRPr="00F264FB">
        <w:rPr>
          <w:b/>
          <w:bCs/>
          <w:sz w:val="32"/>
          <w:szCs w:val="32"/>
        </w:rPr>
        <w:t xml:space="preserve">Highgate </w:t>
      </w:r>
      <w:r w:rsidR="0066126A" w:rsidRPr="00F264FB">
        <w:rPr>
          <w:b/>
          <w:bCs/>
          <w:sz w:val="32"/>
          <w:szCs w:val="32"/>
        </w:rPr>
        <w:t xml:space="preserve">Opera Circle </w:t>
      </w:r>
      <w:r w:rsidRPr="00F264FB">
        <w:rPr>
          <w:b/>
          <w:bCs/>
          <w:sz w:val="32"/>
          <w:szCs w:val="32"/>
        </w:rPr>
        <w:t>Jan</w:t>
      </w:r>
      <w:r>
        <w:rPr>
          <w:b/>
          <w:bCs/>
          <w:sz w:val="32"/>
          <w:szCs w:val="32"/>
        </w:rPr>
        <w:t>uary</w:t>
      </w:r>
      <w:r w:rsidRPr="00F264FB">
        <w:rPr>
          <w:b/>
          <w:bCs/>
          <w:sz w:val="32"/>
          <w:szCs w:val="32"/>
        </w:rPr>
        <w:t xml:space="preserve">-March </w:t>
      </w:r>
      <w:r w:rsidR="00013D56">
        <w:rPr>
          <w:b/>
          <w:bCs/>
          <w:sz w:val="32"/>
          <w:szCs w:val="32"/>
        </w:rPr>
        <w:t xml:space="preserve">2020 </w:t>
      </w:r>
      <w:r>
        <w:rPr>
          <w:b/>
          <w:bCs/>
          <w:sz w:val="32"/>
          <w:szCs w:val="32"/>
        </w:rPr>
        <w:t xml:space="preserve">Season </w:t>
      </w:r>
      <w:r w:rsidRPr="00F264FB">
        <w:rPr>
          <w:b/>
          <w:bCs/>
          <w:sz w:val="32"/>
          <w:szCs w:val="32"/>
        </w:rPr>
        <w:t>Review</w:t>
      </w:r>
      <w:r w:rsidR="0066126A" w:rsidRPr="00F264FB">
        <w:rPr>
          <w:b/>
          <w:bCs/>
          <w:sz w:val="32"/>
          <w:szCs w:val="32"/>
        </w:rPr>
        <w:t xml:space="preserve"> </w:t>
      </w:r>
    </w:p>
    <w:p w14:paraId="29A7F4D3" w14:textId="12F22FBB" w:rsidR="00EC6E05" w:rsidRPr="0066126A" w:rsidRDefault="00EC6E05" w:rsidP="00EC6E05">
      <w:pPr>
        <w:ind w:left="2880" w:firstLine="720"/>
        <w:jc w:val="both"/>
        <w:rPr>
          <w:b/>
          <w:bCs/>
          <w:sz w:val="8"/>
          <w:szCs w:val="8"/>
        </w:rPr>
      </w:pPr>
    </w:p>
    <w:tbl>
      <w:tblPr>
        <w:tblStyle w:val="TableGrid"/>
        <w:tblW w:w="10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255"/>
        <w:gridCol w:w="291"/>
        <w:gridCol w:w="3866"/>
      </w:tblGrid>
      <w:tr w:rsidR="00906233" w14:paraId="5681E31F" w14:textId="77777777" w:rsidTr="0005646C">
        <w:trPr>
          <w:trHeight w:val="3959"/>
          <w:jc w:val="center"/>
        </w:trPr>
        <w:tc>
          <w:tcPr>
            <w:tcW w:w="3119" w:type="dxa"/>
          </w:tcPr>
          <w:p w14:paraId="0ECD5542" w14:textId="50E0A817" w:rsidR="00906233" w:rsidRPr="00E05C09" w:rsidRDefault="0066126A" w:rsidP="0005646C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lk47354729"/>
            <w:r w:rsidRPr="00E05C09">
              <w:rPr>
                <w:b/>
                <w:i/>
                <w:sz w:val="24"/>
                <w:szCs w:val="24"/>
              </w:rPr>
              <w:t>1</w:t>
            </w:r>
            <w:r w:rsidR="00906233" w:rsidRPr="00E05C09">
              <w:rPr>
                <w:b/>
                <w:i/>
                <w:sz w:val="24"/>
                <w:szCs w:val="24"/>
              </w:rPr>
              <w:t>5 January 2020</w:t>
            </w:r>
          </w:p>
          <w:p w14:paraId="764C6F29" w14:textId="77777777" w:rsidR="00906233" w:rsidRPr="00DC0CD9" w:rsidRDefault="00906233" w:rsidP="0005646C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DC0CD9">
              <w:rPr>
                <w:rFonts w:cs="Tahoma"/>
                <w:b/>
                <w:sz w:val="28"/>
                <w:szCs w:val="28"/>
              </w:rPr>
              <w:t>Agrippina</w:t>
            </w:r>
          </w:p>
          <w:p w14:paraId="6D515BD9" w14:textId="77777777" w:rsidR="00906233" w:rsidRPr="00402511" w:rsidRDefault="00906233" w:rsidP="0005646C">
            <w:pPr>
              <w:jc w:val="center"/>
              <w:rPr>
                <w:rFonts w:asciiTheme="minorHAnsi" w:hAnsiTheme="minorHAnsi" w:cs="Tahoma"/>
                <w:bCs/>
                <w:i/>
                <w:iCs/>
                <w:sz w:val="24"/>
                <w:szCs w:val="24"/>
              </w:rPr>
            </w:pPr>
            <w:r w:rsidRPr="00402511">
              <w:rPr>
                <w:rFonts w:asciiTheme="minorHAnsi" w:hAnsiTheme="minorHAnsi" w:cs="Tahoma"/>
                <w:bCs/>
                <w:i/>
                <w:iCs/>
                <w:sz w:val="24"/>
                <w:szCs w:val="24"/>
              </w:rPr>
              <w:t>(Following Annual Meeting)</w:t>
            </w:r>
          </w:p>
          <w:p w14:paraId="653D79A8" w14:textId="77777777" w:rsidR="00906233" w:rsidRDefault="00906233" w:rsidP="0005646C">
            <w:pPr>
              <w:pStyle w:val="NormalWeb"/>
              <w:jc w:val="center"/>
              <w:rPr>
                <w:lang w:eastAsia="en-US"/>
              </w:rPr>
            </w:pPr>
            <w:r w:rsidRPr="00A153A5">
              <w:rPr>
                <w:noProof/>
              </w:rPr>
              <w:drawing>
                <wp:inline distT="0" distB="0" distL="0" distR="0" wp14:anchorId="4FF2F8A6" wp14:editId="28969452">
                  <wp:extent cx="1866900" cy="2428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89" cy="25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11C8B" w14:textId="77777777" w:rsidR="00906233" w:rsidRPr="003F5106" w:rsidRDefault="00906233" w:rsidP="0005646C">
            <w:pPr>
              <w:jc w:val="center"/>
              <w:rPr>
                <w:rFonts w:cs="Tahoma"/>
                <w:bCs/>
                <w:sz w:val="24"/>
                <w:szCs w:val="24"/>
                <w:lang w:eastAsia="en-US"/>
              </w:rPr>
            </w:pPr>
            <w:r w:rsidRPr="003F5106">
              <w:rPr>
                <w:rFonts w:cs="Tahoma"/>
                <w:bCs/>
                <w:sz w:val="24"/>
                <w:szCs w:val="24"/>
              </w:rPr>
              <w:t>Handel’s first operatic masterpiece written for Venice in 1710</w:t>
            </w:r>
          </w:p>
          <w:p w14:paraId="4860B34C" w14:textId="77777777" w:rsidR="00906233" w:rsidRPr="00BC3FE8" w:rsidRDefault="00906233" w:rsidP="000564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0CB4A4C" w14:textId="77777777" w:rsidR="00906233" w:rsidRDefault="00906233" w:rsidP="0005646C"/>
        </w:tc>
        <w:tc>
          <w:tcPr>
            <w:tcW w:w="3255" w:type="dxa"/>
          </w:tcPr>
          <w:p w14:paraId="51EE0E5D" w14:textId="77777777" w:rsidR="00906233" w:rsidRPr="00E05C09" w:rsidRDefault="00906233" w:rsidP="0005646C">
            <w:pPr>
              <w:jc w:val="center"/>
              <w:rPr>
                <w:b/>
                <w:i/>
                <w:sz w:val="24"/>
                <w:szCs w:val="24"/>
              </w:rPr>
            </w:pPr>
            <w:r w:rsidRPr="00E05C09">
              <w:rPr>
                <w:b/>
                <w:i/>
                <w:sz w:val="24"/>
                <w:szCs w:val="24"/>
              </w:rPr>
              <w:t>12 February 2020</w:t>
            </w:r>
          </w:p>
          <w:p w14:paraId="34A9EDF0" w14:textId="77777777" w:rsidR="00906233" w:rsidRPr="00331FDA" w:rsidRDefault="00906233" w:rsidP="0005646C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331FDA">
              <w:rPr>
                <w:rFonts w:cs="Tahoma"/>
                <w:b/>
                <w:sz w:val="28"/>
                <w:szCs w:val="28"/>
              </w:rPr>
              <w:t>The Flying Dutchman</w:t>
            </w:r>
          </w:p>
          <w:p w14:paraId="7619D618" w14:textId="77777777" w:rsidR="00906233" w:rsidRPr="00331FDA" w:rsidRDefault="00906233" w:rsidP="0005646C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14:paraId="5837429D" w14:textId="77777777" w:rsidR="00906233" w:rsidRPr="00BC3FE8" w:rsidRDefault="00906233" w:rsidP="0005646C">
            <w:pPr>
              <w:pStyle w:val="NormalWeb"/>
              <w:jc w:val="center"/>
              <w:rPr>
                <w:lang w:eastAsia="en-US"/>
              </w:rPr>
            </w:pPr>
            <w:r w:rsidRPr="00BC3FE8">
              <w:rPr>
                <w:noProof/>
              </w:rPr>
              <w:drawing>
                <wp:inline distT="0" distB="0" distL="0" distR="0" wp14:anchorId="40090992" wp14:editId="46E78F40">
                  <wp:extent cx="1926590" cy="2047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03" cy="20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37074" w14:textId="77777777" w:rsidR="00906233" w:rsidRPr="003F5106" w:rsidRDefault="00906233" w:rsidP="000564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5106">
              <w:rPr>
                <w:rFonts w:asciiTheme="minorHAnsi" w:hAnsiTheme="minorHAnsi"/>
                <w:sz w:val="24"/>
                <w:szCs w:val="24"/>
              </w:rPr>
              <w:t>Wagner’s music drama of the cursed sea captain doomed to sail the oceans until he can find redemption through womanly love</w:t>
            </w:r>
          </w:p>
          <w:p w14:paraId="2DFDEFCD" w14:textId="77777777" w:rsidR="00906233" w:rsidRPr="00BC3FE8" w:rsidRDefault="00906233" w:rsidP="0005646C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1" w:type="dxa"/>
          </w:tcPr>
          <w:p w14:paraId="01E56744" w14:textId="77777777" w:rsidR="00906233" w:rsidRDefault="00906233" w:rsidP="0005646C"/>
        </w:tc>
        <w:tc>
          <w:tcPr>
            <w:tcW w:w="3866" w:type="dxa"/>
          </w:tcPr>
          <w:p w14:paraId="58B73C5F" w14:textId="77777777" w:rsidR="00906233" w:rsidRPr="00E05C09" w:rsidRDefault="00906233" w:rsidP="0005646C">
            <w:pPr>
              <w:jc w:val="center"/>
              <w:rPr>
                <w:b/>
                <w:i/>
                <w:sz w:val="24"/>
                <w:szCs w:val="24"/>
              </w:rPr>
            </w:pPr>
            <w:r w:rsidRPr="00E05C09">
              <w:rPr>
                <w:b/>
                <w:i/>
                <w:sz w:val="24"/>
                <w:szCs w:val="24"/>
              </w:rPr>
              <w:t>11 March 2020</w:t>
            </w:r>
          </w:p>
          <w:p w14:paraId="0893E9DA" w14:textId="77777777" w:rsidR="00906233" w:rsidRPr="00331FDA" w:rsidRDefault="00906233" w:rsidP="0005646C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331FDA">
              <w:rPr>
                <w:rFonts w:cs="Tahoma"/>
                <w:b/>
                <w:sz w:val="28"/>
                <w:szCs w:val="28"/>
              </w:rPr>
              <w:t>Fidelio</w:t>
            </w:r>
          </w:p>
          <w:p w14:paraId="2D7EF270" w14:textId="77777777" w:rsidR="00906233" w:rsidRPr="00BC3FE8" w:rsidRDefault="00906233" w:rsidP="0005646C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7A278CE6" w14:textId="77777777" w:rsidR="00906233" w:rsidRPr="00BC3FE8" w:rsidRDefault="00906233" w:rsidP="0005646C">
            <w:pPr>
              <w:pStyle w:val="NormalWeb"/>
              <w:jc w:val="center"/>
              <w:rPr>
                <w:lang w:eastAsia="en-US"/>
              </w:rPr>
            </w:pPr>
            <w:r w:rsidRPr="00BC3FE8">
              <w:rPr>
                <w:noProof/>
              </w:rPr>
              <w:drawing>
                <wp:inline distT="0" distB="0" distL="0" distR="0" wp14:anchorId="48504A78" wp14:editId="4B45C5E5">
                  <wp:extent cx="2015167" cy="242887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2000" contrast="1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12" cy="24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54811" w14:textId="77777777" w:rsidR="00906233" w:rsidRPr="003F5106" w:rsidRDefault="00906233" w:rsidP="000564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5106">
              <w:rPr>
                <w:rFonts w:asciiTheme="minorHAnsi" w:hAnsiTheme="minorHAnsi"/>
                <w:sz w:val="24"/>
                <w:szCs w:val="24"/>
              </w:rPr>
              <w:t>An evening on Beethoven’s only opera creating an overwhelming experience of freedom from tyranny</w:t>
            </w:r>
          </w:p>
          <w:p w14:paraId="14BA9F67" w14:textId="77777777" w:rsidR="00906233" w:rsidRDefault="00906233" w:rsidP="0005646C">
            <w:pPr>
              <w:rPr>
                <w:rFonts w:asciiTheme="minorHAnsi" w:eastAsiaTheme="minorHAnsi" w:hAnsiTheme="minorHAnsi" w:cstheme="minorBidi"/>
              </w:rPr>
            </w:pPr>
          </w:p>
        </w:tc>
      </w:tr>
      <w:bookmarkEnd w:id="0"/>
    </w:tbl>
    <w:p w14:paraId="1B7D0D62" w14:textId="77777777" w:rsidR="007107E8" w:rsidRPr="00772E98" w:rsidRDefault="007107E8" w:rsidP="007107E8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6F93E8B" w14:textId="46B52736" w:rsidR="00906233" w:rsidRPr="00402511" w:rsidRDefault="007107E8" w:rsidP="007107E8">
      <w:pPr>
        <w:rPr>
          <w:rFonts w:cstheme="minorHAnsi"/>
          <w:sz w:val="24"/>
          <w:szCs w:val="24"/>
        </w:rPr>
      </w:pPr>
      <w:r w:rsidRPr="00402511">
        <w:rPr>
          <w:rFonts w:cstheme="minorHAnsi"/>
          <w:sz w:val="24"/>
          <w:szCs w:val="24"/>
        </w:rPr>
        <w:t xml:space="preserve">The Opera Circle has had a very successful Spring season with average audiences of 60 for each of the 3 evenings. </w:t>
      </w:r>
    </w:p>
    <w:p w14:paraId="2EAE17D0" w14:textId="75AF3878" w:rsidR="007107E8" w:rsidRDefault="009D1207" w:rsidP="00710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January b</w:t>
      </w:r>
      <w:r w:rsidR="007107E8" w:rsidRPr="00402511">
        <w:rPr>
          <w:rFonts w:cstheme="minorHAnsi"/>
          <w:sz w:val="24"/>
          <w:szCs w:val="24"/>
        </w:rPr>
        <w:t xml:space="preserve">aroque enthusiast Brian Hargreaves introduced </w:t>
      </w:r>
      <w:r w:rsidR="00402511">
        <w:rPr>
          <w:rFonts w:cstheme="minorHAnsi"/>
          <w:sz w:val="24"/>
          <w:szCs w:val="24"/>
        </w:rPr>
        <w:t xml:space="preserve">us </w:t>
      </w:r>
      <w:r w:rsidR="007107E8" w:rsidRPr="00402511">
        <w:rPr>
          <w:rFonts w:cstheme="minorHAnsi"/>
          <w:sz w:val="24"/>
          <w:szCs w:val="24"/>
        </w:rPr>
        <w:t xml:space="preserve">to Handel’s </w:t>
      </w:r>
      <w:r w:rsidR="003F5106" w:rsidRPr="00402511">
        <w:rPr>
          <w:rFonts w:cstheme="minorHAnsi"/>
          <w:sz w:val="24"/>
          <w:szCs w:val="24"/>
        </w:rPr>
        <w:t xml:space="preserve">anti heroic satirical </w:t>
      </w:r>
      <w:r w:rsidR="007107E8" w:rsidRPr="00402511">
        <w:rPr>
          <w:rFonts w:cstheme="minorHAnsi"/>
          <w:sz w:val="24"/>
          <w:szCs w:val="24"/>
        </w:rPr>
        <w:t>opera Agrippina</w:t>
      </w:r>
      <w:r>
        <w:rPr>
          <w:rFonts w:cstheme="minorHAnsi"/>
          <w:sz w:val="24"/>
          <w:szCs w:val="24"/>
        </w:rPr>
        <w:t>.</w:t>
      </w:r>
      <w:r w:rsidR="007107E8" w:rsidRPr="00402511">
        <w:rPr>
          <w:rFonts w:cstheme="minorHAnsi"/>
          <w:sz w:val="24"/>
          <w:szCs w:val="24"/>
        </w:rPr>
        <w:t xml:space="preserve"> </w:t>
      </w:r>
      <w:r w:rsidR="004025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most of us t</w:t>
      </w:r>
      <w:r w:rsidR="00402511">
        <w:rPr>
          <w:rFonts w:cstheme="minorHAnsi"/>
          <w:sz w:val="24"/>
          <w:szCs w:val="24"/>
        </w:rPr>
        <w:t xml:space="preserve">he highlight of the evening was </w:t>
      </w:r>
      <w:r>
        <w:rPr>
          <w:rFonts w:cstheme="minorHAnsi"/>
          <w:sz w:val="24"/>
          <w:szCs w:val="24"/>
        </w:rPr>
        <w:t xml:space="preserve">a clip from </w:t>
      </w:r>
      <w:r w:rsidR="00402511">
        <w:rPr>
          <w:rFonts w:cstheme="minorHAnsi"/>
          <w:sz w:val="24"/>
          <w:szCs w:val="24"/>
        </w:rPr>
        <w:t>Joyce DiDonato</w:t>
      </w:r>
      <w:r>
        <w:rPr>
          <w:rFonts w:cstheme="minorHAnsi"/>
          <w:sz w:val="24"/>
          <w:szCs w:val="24"/>
        </w:rPr>
        <w:t xml:space="preserve"> singing the title role, which she was performing in new productions both at Covent Garden and the Met.</w:t>
      </w:r>
    </w:p>
    <w:p w14:paraId="1D60429A" w14:textId="1BB34020" w:rsidR="00257086" w:rsidRDefault="009D1207" w:rsidP="00710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February Barry Mellor introduced us to several </w:t>
      </w:r>
      <w:r w:rsidR="00257086">
        <w:rPr>
          <w:rFonts w:cstheme="minorHAnsi"/>
          <w:sz w:val="24"/>
          <w:szCs w:val="24"/>
        </w:rPr>
        <w:t xml:space="preserve">wonderful </w:t>
      </w:r>
      <w:r>
        <w:rPr>
          <w:rFonts w:cstheme="minorHAnsi"/>
          <w:sz w:val="24"/>
          <w:szCs w:val="24"/>
        </w:rPr>
        <w:t>recordings of Wagner’s Flying Dutchman</w:t>
      </w:r>
      <w:r w:rsidR="00257086">
        <w:rPr>
          <w:rFonts w:cstheme="minorHAnsi"/>
          <w:sz w:val="24"/>
          <w:szCs w:val="24"/>
        </w:rPr>
        <w:t xml:space="preserve">, all of which had some great singing in productions that brought out </w:t>
      </w:r>
      <w:r w:rsidR="006D1056">
        <w:rPr>
          <w:rFonts w:cstheme="minorHAnsi"/>
          <w:sz w:val="24"/>
          <w:szCs w:val="24"/>
        </w:rPr>
        <w:t xml:space="preserve">all </w:t>
      </w:r>
      <w:r w:rsidR="00257086">
        <w:rPr>
          <w:rFonts w:cstheme="minorHAnsi"/>
          <w:sz w:val="24"/>
          <w:szCs w:val="24"/>
        </w:rPr>
        <w:t xml:space="preserve">the drama of the </w:t>
      </w:r>
      <w:r w:rsidR="006D1056">
        <w:rPr>
          <w:rFonts w:cstheme="minorHAnsi"/>
          <w:sz w:val="24"/>
          <w:szCs w:val="24"/>
        </w:rPr>
        <w:t xml:space="preserve">raging </w:t>
      </w:r>
      <w:r w:rsidR="00257086">
        <w:rPr>
          <w:rFonts w:cstheme="minorHAnsi"/>
          <w:sz w:val="24"/>
          <w:szCs w:val="24"/>
        </w:rPr>
        <w:t>seas.</w:t>
      </w:r>
    </w:p>
    <w:p w14:paraId="131E5169" w14:textId="33844DF3" w:rsidR="006F7F97" w:rsidRDefault="00257086" w:rsidP="00710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March Anne Casson compared some very moving productions of Fidelio as an introduction to the future performances at Covent Garden. For some</w:t>
      </w:r>
      <w:r w:rsidR="00C23E1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clip showing Jon Vickers as Florestan in the dungeon scene has never been surpassed.  </w:t>
      </w:r>
      <w:r w:rsidR="006F7F97">
        <w:rPr>
          <w:rFonts w:cstheme="minorHAnsi"/>
          <w:sz w:val="24"/>
          <w:szCs w:val="24"/>
        </w:rPr>
        <w:t>Fortunately,</w:t>
      </w:r>
      <w:r w:rsidR="002B341F">
        <w:rPr>
          <w:rFonts w:cstheme="minorHAnsi"/>
          <w:sz w:val="24"/>
          <w:szCs w:val="24"/>
        </w:rPr>
        <w:t xml:space="preserve"> a Covent Garden performance was recorded just before lockdown and </w:t>
      </w:r>
      <w:r w:rsidR="006D1056">
        <w:rPr>
          <w:rFonts w:cstheme="minorHAnsi"/>
          <w:sz w:val="24"/>
          <w:szCs w:val="24"/>
        </w:rPr>
        <w:t xml:space="preserve">subsequently </w:t>
      </w:r>
      <w:r w:rsidR="002B341F">
        <w:rPr>
          <w:rFonts w:cstheme="minorHAnsi"/>
          <w:sz w:val="24"/>
          <w:szCs w:val="24"/>
        </w:rPr>
        <w:t>shown on BBC4, without Jonas Kaufmann</w:t>
      </w:r>
      <w:r w:rsidR="00C95F51">
        <w:rPr>
          <w:rFonts w:cstheme="minorHAnsi"/>
          <w:sz w:val="24"/>
          <w:szCs w:val="24"/>
        </w:rPr>
        <w:t>,</w:t>
      </w:r>
      <w:r w:rsidR="002B341F">
        <w:rPr>
          <w:rFonts w:cstheme="minorHAnsi"/>
          <w:sz w:val="24"/>
          <w:szCs w:val="24"/>
        </w:rPr>
        <w:t xml:space="preserve"> but with </w:t>
      </w:r>
      <w:r w:rsidR="00C23E10">
        <w:rPr>
          <w:rFonts w:cstheme="minorHAnsi"/>
          <w:sz w:val="24"/>
          <w:szCs w:val="24"/>
        </w:rPr>
        <w:t xml:space="preserve">the </w:t>
      </w:r>
      <w:r w:rsidR="002B341F">
        <w:rPr>
          <w:rFonts w:cstheme="minorHAnsi"/>
          <w:sz w:val="24"/>
          <w:szCs w:val="24"/>
        </w:rPr>
        <w:t xml:space="preserve">wonderful </w:t>
      </w:r>
      <w:r w:rsidR="00C23E10">
        <w:rPr>
          <w:rFonts w:cstheme="minorHAnsi"/>
          <w:sz w:val="24"/>
          <w:szCs w:val="24"/>
        </w:rPr>
        <w:t xml:space="preserve">Norwegian </w:t>
      </w:r>
      <w:r w:rsidR="002B341F">
        <w:rPr>
          <w:rFonts w:cstheme="minorHAnsi"/>
          <w:sz w:val="24"/>
          <w:szCs w:val="24"/>
        </w:rPr>
        <w:t>soprano Lise Davidson taking the part of Leonore (Fidelio)</w:t>
      </w:r>
      <w:r w:rsidR="006F7F97">
        <w:rPr>
          <w:rFonts w:cstheme="minorHAnsi"/>
          <w:sz w:val="24"/>
          <w:szCs w:val="24"/>
        </w:rPr>
        <w:t>.</w:t>
      </w:r>
    </w:p>
    <w:p w14:paraId="07E8178D" w14:textId="3C8202D2" w:rsidR="006F7F97" w:rsidRDefault="006F7F97" w:rsidP="00710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Sadly, then lockdown intervened and we have been unable to continue with any further Opera Circle evenings.</w:t>
      </w:r>
    </w:p>
    <w:p w14:paraId="62B2FBDE" w14:textId="507DA224" w:rsidR="006F7F97" w:rsidRDefault="006F7F97" w:rsidP="00710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of course regularly reviewing our future plans and will reconvene as soon as is practical and appropriate</w:t>
      </w:r>
      <w:r w:rsidR="00383F76">
        <w:rPr>
          <w:rFonts w:cstheme="minorHAnsi"/>
          <w:sz w:val="24"/>
          <w:szCs w:val="24"/>
        </w:rPr>
        <w:t xml:space="preserve"> to continue to bring you the highest quality perfor</w:t>
      </w:r>
      <w:r w:rsidR="00C23E10">
        <w:rPr>
          <w:rFonts w:cstheme="minorHAnsi"/>
          <w:sz w:val="24"/>
          <w:szCs w:val="24"/>
        </w:rPr>
        <w:t>ma</w:t>
      </w:r>
      <w:r w:rsidR="00383F76">
        <w:rPr>
          <w:rFonts w:cstheme="minorHAnsi"/>
          <w:sz w:val="24"/>
          <w:szCs w:val="24"/>
        </w:rPr>
        <w:t>nces</w:t>
      </w:r>
      <w:r w:rsidR="006B30B2">
        <w:rPr>
          <w:rFonts w:cstheme="minorHAnsi"/>
          <w:sz w:val="24"/>
          <w:szCs w:val="24"/>
        </w:rPr>
        <w:t xml:space="preserve"> in HD sound and vision.</w:t>
      </w:r>
      <w:r>
        <w:rPr>
          <w:rFonts w:cstheme="minorHAnsi"/>
          <w:sz w:val="24"/>
          <w:szCs w:val="24"/>
        </w:rPr>
        <w:t xml:space="preserve"> We expect this to be in the New Year. In the meantime, keep well and enjoy all the daily live streaming from the Met and from all round the world!</w:t>
      </w:r>
    </w:p>
    <w:p w14:paraId="0B8215F7" w14:textId="4820CEAD" w:rsidR="006F7F97" w:rsidRPr="00F264FB" w:rsidRDefault="009C0B13" w:rsidP="007107E8">
      <w:pPr>
        <w:rPr>
          <w:rFonts w:cstheme="minorHAnsi"/>
          <w:i/>
          <w:iCs/>
          <w:sz w:val="24"/>
          <w:szCs w:val="24"/>
        </w:rPr>
      </w:pPr>
      <w:r w:rsidRPr="00F264FB">
        <w:rPr>
          <w:rFonts w:cstheme="minorHAnsi"/>
          <w:i/>
          <w:iCs/>
          <w:sz w:val="24"/>
          <w:szCs w:val="24"/>
        </w:rPr>
        <w:t>Geoff Hunt</w:t>
      </w:r>
    </w:p>
    <w:p w14:paraId="6ACA6B27" w14:textId="02DD283D" w:rsidR="00F264FB" w:rsidRPr="00F264FB" w:rsidRDefault="00F264FB" w:rsidP="007107E8">
      <w:pPr>
        <w:rPr>
          <w:rFonts w:cstheme="minorHAnsi"/>
          <w:i/>
          <w:iCs/>
          <w:sz w:val="24"/>
          <w:szCs w:val="24"/>
        </w:rPr>
      </w:pPr>
      <w:r w:rsidRPr="00F264FB">
        <w:rPr>
          <w:rFonts w:cstheme="minorHAnsi"/>
          <w:i/>
          <w:iCs/>
          <w:sz w:val="24"/>
          <w:szCs w:val="24"/>
        </w:rPr>
        <w:t>April 2020</w:t>
      </w:r>
    </w:p>
    <w:sectPr w:rsidR="00F264FB" w:rsidRPr="00F264FB" w:rsidSect="00F264FB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33"/>
    <w:rsid w:val="00013D56"/>
    <w:rsid w:val="001C552D"/>
    <w:rsid w:val="00257086"/>
    <w:rsid w:val="002B341F"/>
    <w:rsid w:val="00383F76"/>
    <w:rsid w:val="003F5106"/>
    <w:rsid w:val="00402511"/>
    <w:rsid w:val="0066126A"/>
    <w:rsid w:val="006B30B2"/>
    <w:rsid w:val="006D1056"/>
    <w:rsid w:val="006F7F97"/>
    <w:rsid w:val="007107E8"/>
    <w:rsid w:val="00906233"/>
    <w:rsid w:val="00971DC7"/>
    <w:rsid w:val="009C0B13"/>
    <w:rsid w:val="009D1207"/>
    <w:rsid w:val="00C23E10"/>
    <w:rsid w:val="00C95F51"/>
    <w:rsid w:val="00D10F64"/>
    <w:rsid w:val="00E05C09"/>
    <w:rsid w:val="00EC6E05"/>
    <w:rsid w:val="00F264FB"/>
    <w:rsid w:val="00F62896"/>
    <w:rsid w:val="00F85450"/>
    <w:rsid w:val="00FB22A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14C3"/>
  <w15:chartTrackingRefBased/>
  <w15:docId w15:val="{616C0CE4-A476-4074-9A55-3E15B702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33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2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1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3</cp:revision>
  <cp:lastPrinted>2020-08-04T15:42:00Z</cp:lastPrinted>
  <dcterms:created xsi:type="dcterms:W3CDTF">2023-08-21T09:34:00Z</dcterms:created>
  <dcterms:modified xsi:type="dcterms:W3CDTF">2023-08-21T11:11:00Z</dcterms:modified>
</cp:coreProperties>
</file>